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0" w:rsidRDefault="003E7890"/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3E7890" w:rsidRPr="009A60F1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3E7890" w:rsidRPr="003977C1">
              <w:trPr>
                <w:trHeight w:val="1897"/>
              </w:trPr>
              <w:tc>
                <w:tcPr>
                  <w:tcW w:w="4315" w:type="dxa"/>
                </w:tcPr>
                <w:p w:rsidR="003E7890" w:rsidRPr="003977C1" w:rsidRDefault="003E789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E7890" w:rsidRPr="003977C1" w:rsidRDefault="003E789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E7890" w:rsidRPr="003977C1" w:rsidRDefault="003E789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СТЕПАНОВСКИЙ СЕЛЬ</w:t>
                  </w:r>
                  <w:r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E7890" w:rsidRPr="003977C1" w:rsidRDefault="003E789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E7890" w:rsidRPr="003977C1" w:rsidRDefault="003E789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E7890" w:rsidRPr="003977C1" w:rsidRDefault="003E789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</w:p>
                <w:p w:rsidR="003E7890" w:rsidRPr="003977C1" w:rsidRDefault="003E7890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977C1">
                    <w:rPr>
                      <w:b/>
                      <w:bCs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E7890" w:rsidRPr="003977C1">
              <w:trPr>
                <w:trHeight w:val="937"/>
              </w:trPr>
              <w:tc>
                <w:tcPr>
                  <w:tcW w:w="4315" w:type="dxa"/>
                </w:tcPr>
                <w:p w:rsidR="003E7890" w:rsidRPr="003977C1" w:rsidRDefault="003E7890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3E7890" w:rsidRPr="001154D1" w:rsidRDefault="003E7890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11.11.2020 № 87п</w:t>
                  </w:r>
                </w:p>
                <w:p w:rsidR="003E7890" w:rsidRPr="006B2812" w:rsidRDefault="003E7890" w:rsidP="0005659B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Степановка</w:t>
                  </w:r>
                </w:p>
              </w:tc>
            </w:tr>
          </w:tbl>
          <w:p w:rsidR="003E7890" w:rsidRPr="009A60F1" w:rsidRDefault="003E7890" w:rsidP="00486964">
            <w:pPr>
              <w:jc w:val="both"/>
            </w:pPr>
          </w:p>
        </w:tc>
      </w:tr>
    </w:tbl>
    <w:p w:rsidR="003E7890" w:rsidRDefault="003E7890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E7890" w:rsidRDefault="003E7890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предоставления </w:t>
      </w:r>
      <w:r w:rsidRPr="000D4BDA">
        <w:rPr>
          <w:color w:val="000000"/>
          <w:sz w:val="28"/>
          <w:szCs w:val="28"/>
        </w:rPr>
        <w:t>муниципальной</w:t>
      </w:r>
    </w:p>
    <w:p w:rsidR="003E7890" w:rsidRDefault="003E7890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</w:p>
    <w:p w:rsidR="003E7890" w:rsidRDefault="003E7890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E7890" w:rsidRDefault="003E7890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E7890" w:rsidRDefault="003E7890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3E7890" w:rsidRDefault="003E7890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грузов»</w:t>
      </w:r>
    </w:p>
    <w:p w:rsidR="003E7890" w:rsidRPr="000D4BDA" w:rsidRDefault="003E7890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E7890" w:rsidRPr="000D4BDA" w:rsidRDefault="003E7890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 xml:space="preserve">твенных и муниципальных услуг", </w:t>
      </w: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МО Степановский сельсовет Ташлинского района Оренбургской области:</w:t>
      </w:r>
    </w:p>
    <w:p w:rsidR="003E7890" w:rsidRPr="000D4BDA" w:rsidRDefault="003E7890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>
        <w:rPr>
          <w:color w:val="000000"/>
          <w:sz w:val="28"/>
          <w:szCs w:val="28"/>
        </w:rPr>
        <w:t xml:space="preserve">льной услуги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3E7890" w:rsidRDefault="003E7890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C00669">
        <w:rPr>
          <w:color w:val="000000"/>
          <w:sz w:val="28"/>
          <w:szCs w:val="28"/>
        </w:rPr>
        <w:t>Контроль за исполнением настоящего по</w:t>
      </w:r>
      <w:r>
        <w:rPr>
          <w:color w:val="000000"/>
          <w:sz w:val="28"/>
          <w:szCs w:val="28"/>
        </w:rPr>
        <w:t xml:space="preserve">становления оставляю за собой. </w:t>
      </w:r>
    </w:p>
    <w:p w:rsidR="003E7890" w:rsidRDefault="003E7890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Постановление </w:t>
      </w:r>
      <w:r w:rsidRPr="0069497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 его обнародования.</w:t>
      </w:r>
    </w:p>
    <w:p w:rsidR="003E7890" w:rsidRDefault="003E7890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890" w:rsidRPr="0026046C" w:rsidRDefault="003E7890" w:rsidP="00DD1F03">
      <w:pPr>
        <w:rPr>
          <w:sz w:val="28"/>
          <w:szCs w:val="28"/>
          <w:lang w:eastAsia="en-US"/>
        </w:rPr>
      </w:pPr>
      <w:r w:rsidRPr="0026046C">
        <w:rPr>
          <w:sz w:val="28"/>
          <w:szCs w:val="28"/>
          <w:lang w:eastAsia="en-US"/>
        </w:rPr>
        <w:t xml:space="preserve">Глава администрации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А.Д.Бикметов</w:t>
      </w:r>
    </w:p>
    <w:p w:rsidR="003E7890" w:rsidRPr="0026046C" w:rsidRDefault="003E7890" w:rsidP="0026046C">
      <w:pPr>
        <w:suppressAutoHyphens/>
        <w:rPr>
          <w:kern w:val="2"/>
          <w:sz w:val="28"/>
          <w:szCs w:val="28"/>
          <w:lang w:eastAsia="ar-SA"/>
        </w:rPr>
      </w:pPr>
    </w:p>
    <w:p w:rsidR="003E7890" w:rsidRDefault="003E7890" w:rsidP="0026046C">
      <w:pPr>
        <w:suppressAutoHyphens/>
        <w:rPr>
          <w:kern w:val="2"/>
          <w:sz w:val="28"/>
          <w:szCs w:val="28"/>
          <w:lang w:eastAsia="ar-SA"/>
        </w:rPr>
      </w:pPr>
      <w:r w:rsidRPr="0026046C">
        <w:rPr>
          <w:kern w:val="2"/>
          <w:sz w:val="28"/>
          <w:szCs w:val="28"/>
          <w:lang w:eastAsia="ar-SA"/>
        </w:rPr>
        <w:t>Разослано: прокурору</w:t>
      </w:r>
      <w:r>
        <w:rPr>
          <w:kern w:val="2"/>
          <w:sz w:val="28"/>
          <w:szCs w:val="28"/>
          <w:lang w:eastAsia="ar-SA"/>
        </w:rPr>
        <w:t>, в дело</w:t>
      </w:r>
      <w:r w:rsidRPr="0026046C">
        <w:rPr>
          <w:kern w:val="2"/>
          <w:sz w:val="28"/>
          <w:szCs w:val="28"/>
          <w:lang w:eastAsia="ar-SA"/>
        </w:rPr>
        <w:t>.</w:t>
      </w:r>
    </w:p>
    <w:p w:rsidR="003E7890" w:rsidRPr="00DA40FF" w:rsidRDefault="003E7890" w:rsidP="0026046C">
      <w:pPr>
        <w:suppressAutoHyphens/>
        <w:rPr>
          <w:color w:val="FF0000"/>
          <w:kern w:val="2"/>
          <w:sz w:val="28"/>
          <w:szCs w:val="28"/>
          <w:lang w:eastAsia="ar-SA"/>
        </w:rPr>
      </w:pPr>
    </w:p>
    <w:p w:rsidR="003E7890" w:rsidRPr="00F704DA" w:rsidRDefault="003E7890" w:rsidP="00DD1F03">
      <w:pPr>
        <w:autoSpaceDE w:val="0"/>
        <w:autoSpaceDN w:val="0"/>
        <w:adjustRightInd w:val="0"/>
        <w:jc w:val="right"/>
        <w:rPr>
          <w:color w:val="000000"/>
        </w:rPr>
      </w:pPr>
      <w:r w:rsidRPr="00F704DA">
        <w:rPr>
          <w:color w:val="000000"/>
        </w:rPr>
        <w:t>Приложение</w:t>
      </w:r>
    </w:p>
    <w:p w:rsidR="003E7890" w:rsidRPr="00F704DA" w:rsidRDefault="003E7890" w:rsidP="00DD1F03">
      <w:pPr>
        <w:autoSpaceDE w:val="0"/>
        <w:autoSpaceDN w:val="0"/>
        <w:adjustRightInd w:val="0"/>
        <w:jc w:val="right"/>
        <w:rPr>
          <w:color w:val="000000"/>
        </w:rPr>
      </w:pPr>
      <w:r w:rsidRPr="00F704DA">
        <w:rPr>
          <w:color w:val="000000"/>
        </w:rPr>
        <w:t xml:space="preserve">к постановлению </w:t>
      </w:r>
    </w:p>
    <w:p w:rsidR="003E7890" w:rsidRDefault="003E7890" w:rsidP="00DD1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от 16.11.2020 </w:t>
      </w:r>
      <w:r w:rsidRPr="00F704DA">
        <w:rPr>
          <w:color w:val="000000"/>
        </w:rPr>
        <w:t>№</w:t>
      </w:r>
      <w:r>
        <w:rPr>
          <w:color w:val="000000"/>
        </w:rPr>
        <w:t xml:space="preserve"> 87п</w:t>
      </w:r>
    </w:p>
    <w:p w:rsidR="003E7890" w:rsidRPr="000D4BDA" w:rsidRDefault="003E7890" w:rsidP="00A0403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7890" w:rsidRDefault="003E7890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E7890" w:rsidRPr="00B614E7" w:rsidRDefault="003E7890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3E7890" w:rsidRPr="00AF7887" w:rsidRDefault="003E7890" w:rsidP="00AF788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Pr="00AF7887">
        <w:rPr>
          <w:b/>
          <w:bCs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AF7887">
        <w:rPr>
          <w:b/>
          <w:bCs/>
          <w:color w:val="000000"/>
          <w:sz w:val="28"/>
          <w:szCs w:val="28"/>
        </w:rPr>
        <w:tab/>
      </w:r>
    </w:p>
    <w:p w:rsidR="003E7890" w:rsidRPr="0056277F" w:rsidRDefault="003E7890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7890" w:rsidRPr="00CB6897" w:rsidRDefault="003E7890" w:rsidP="00CB689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B6897">
        <w:rPr>
          <w:b/>
          <w:bCs/>
          <w:sz w:val="28"/>
          <w:szCs w:val="28"/>
        </w:rPr>
        <w:t>1. Общие положения</w:t>
      </w:r>
    </w:p>
    <w:p w:rsidR="003E7890" w:rsidRPr="00CB6897" w:rsidRDefault="003E7890" w:rsidP="00CC76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3E7890" w:rsidRPr="004B57E5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0D4BD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специального </w:t>
      </w:r>
      <w:r w:rsidRPr="0056277F">
        <w:rPr>
          <w:sz w:val="28"/>
          <w:szCs w:val="28"/>
        </w:rPr>
        <w:t xml:space="preserve">разрешения на перевозку </w:t>
      </w:r>
      <w:r>
        <w:rPr>
          <w:color w:val="000000"/>
          <w:sz w:val="28"/>
          <w:szCs w:val="28"/>
        </w:rPr>
        <w:t>тяжеловесных и (или) крупногабаритных грузов</w:t>
      </w:r>
      <w:r>
        <w:rPr>
          <w:sz w:val="28"/>
          <w:szCs w:val="28"/>
        </w:rPr>
        <w:t>, проходящих полностью или частично</w:t>
      </w:r>
      <w:r w:rsidRPr="0056277F">
        <w:rPr>
          <w:sz w:val="28"/>
          <w:szCs w:val="28"/>
        </w:rPr>
        <w:t xml:space="preserve"> по дорогам </w:t>
      </w:r>
      <w:r>
        <w:rPr>
          <w:sz w:val="28"/>
          <w:szCs w:val="28"/>
        </w:rPr>
        <w:t xml:space="preserve">местного значения в границах </w:t>
      </w:r>
      <w:r w:rsidRPr="0056277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Степановский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>
        <w:rPr>
          <w:sz w:val="28"/>
          <w:szCs w:val="28"/>
        </w:rPr>
        <w:t>Степановский сельсовет</w:t>
      </w:r>
      <w:r w:rsidRPr="0056277F">
        <w:rPr>
          <w:sz w:val="28"/>
          <w:szCs w:val="28"/>
        </w:rPr>
        <w:t xml:space="preserve">, либо в </w:t>
      </w:r>
      <w:r w:rsidRPr="00AB688E">
        <w:rPr>
          <w:sz w:val="28"/>
          <w:szCs w:val="28"/>
        </w:rPr>
        <w:t>МБУ «Многофункциональный центр</w:t>
      </w:r>
      <w:r>
        <w:rPr>
          <w:sz w:val="28"/>
          <w:szCs w:val="28"/>
        </w:rPr>
        <w:t xml:space="preserve"> </w:t>
      </w:r>
      <w:r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>
        <w:rPr>
          <w:sz w:val="28"/>
          <w:szCs w:val="28"/>
        </w:rPr>
        <w:t xml:space="preserve"> (далее – МФЦ).</w:t>
      </w: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</w:rPr>
        <w:t>: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>
        <w:rPr>
          <w:sz w:val="28"/>
          <w:szCs w:val="28"/>
        </w:rPr>
        <w:t xml:space="preserve">администрацию муниципального образования Степановский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Pr="0056277F">
        <w:rPr>
          <w:sz w:val="28"/>
          <w:szCs w:val="28"/>
        </w:rPr>
        <w:t>gu.orenburg-gov.ru (далее – Порталы).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3E7890" w:rsidRPr="00992DA1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1.3.3.1.Администрации муниципального образования Степановскийсельсовет</w:t>
      </w:r>
      <w:r w:rsidRPr="0056277F">
        <w:rPr>
          <w:sz w:val="28"/>
          <w:szCs w:val="28"/>
        </w:rPr>
        <w:t>: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461181</w:t>
      </w:r>
      <w:r w:rsidRPr="0056277F">
        <w:rPr>
          <w:sz w:val="28"/>
          <w:szCs w:val="28"/>
        </w:rPr>
        <w:t xml:space="preserve"> Оренбургская область, </w:t>
      </w:r>
      <w:r>
        <w:rPr>
          <w:sz w:val="28"/>
          <w:szCs w:val="28"/>
        </w:rPr>
        <w:t xml:space="preserve"> Ташлинский район, с. Степановка</w:t>
      </w:r>
      <w:r w:rsidRPr="0056277F">
        <w:rPr>
          <w:sz w:val="28"/>
          <w:szCs w:val="28"/>
        </w:rPr>
        <w:t>, ул.</w:t>
      </w:r>
      <w:r>
        <w:rPr>
          <w:sz w:val="28"/>
          <w:szCs w:val="28"/>
        </w:rPr>
        <w:t>Советская, 23</w:t>
      </w:r>
      <w:r w:rsidRPr="0056277F">
        <w:rPr>
          <w:sz w:val="28"/>
          <w:szCs w:val="28"/>
        </w:rPr>
        <w:t>;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>
        <w:rPr>
          <w:sz w:val="28"/>
          <w:szCs w:val="28"/>
        </w:rPr>
        <w:t>472 65 31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>
        <w:rPr>
          <w:sz w:val="28"/>
          <w:szCs w:val="28"/>
          <w:lang w:val="en-US"/>
        </w:rPr>
        <w:t>timakova</w:t>
      </w:r>
      <w:r w:rsidRPr="000565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lyudmila</w:t>
      </w:r>
      <w:r w:rsidRPr="0005659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0565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3E7890" w:rsidRPr="00861CB1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277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муниципального образования Степановский  сельсовет: </w:t>
      </w:r>
      <w:r w:rsidRPr="0005659B">
        <w:rPr>
          <w:sz w:val="28"/>
          <w:szCs w:val="28"/>
        </w:rPr>
        <w:t>http://st.tl.orb.ru/</w:t>
      </w:r>
      <w:r>
        <w:rPr>
          <w:sz w:val="28"/>
          <w:szCs w:val="28"/>
        </w:rPr>
        <w:t>;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Pr="00AD5A89">
        <w:rPr>
          <w:sz w:val="28"/>
          <w:szCs w:val="28"/>
          <w:u w:val="single"/>
          <w:lang w:val="en-US"/>
        </w:rPr>
        <w:t>www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gosuslugi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 муниципального образования Степановский сельсовет</w:t>
      </w:r>
      <w:r w:rsidRPr="0056277F">
        <w:rPr>
          <w:sz w:val="28"/>
          <w:szCs w:val="28"/>
        </w:rPr>
        <w:t>:</w:t>
      </w:r>
    </w:p>
    <w:p w:rsidR="003E7890" w:rsidRPr="00DA40F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0FF">
        <w:rPr>
          <w:sz w:val="28"/>
          <w:szCs w:val="28"/>
        </w:rPr>
        <w:t>понедельник - пятница – с 9.00 час. до 17.00 час.;</w:t>
      </w:r>
    </w:p>
    <w:p w:rsidR="003E7890" w:rsidRPr="008951DB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A40FF">
        <w:rPr>
          <w:sz w:val="28"/>
          <w:szCs w:val="28"/>
        </w:rPr>
        <w:t>обеденный перерыв с 13.00 час. до 14.00 час.;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3E7890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>
        <w:rPr>
          <w:sz w:val="28"/>
          <w:szCs w:val="28"/>
        </w:rPr>
        <w:t>МБУ МФЦ</w:t>
      </w:r>
      <w:r w:rsidRPr="00B77402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района:</w:t>
      </w:r>
    </w:p>
    <w:p w:rsidR="003E7890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телефону (факс): (35347) </w:t>
      </w:r>
      <w:r w:rsidRPr="00B77402">
        <w:rPr>
          <w:sz w:val="28"/>
          <w:szCs w:val="28"/>
        </w:rPr>
        <w:t>2-10-49</w:t>
      </w:r>
      <w:r w:rsidRPr="0056277F">
        <w:rPr>
          <w:sz w:val="28"/>
          <w:szCs w:val="28"/>
        </w:rPr>
        <w:t>;</w:t>
      </w:r>
    </w:p>
    <w:p w:rsidR="003E7890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Pr="00B77402">
        <w:rPr>
          <w:sz w:val="28"/>
          <w:szCs w:val="28"/>
        </w:rPr>
        <w:t>mfctl@mail.ru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МБУ МФЦ:</w:t>
      </w:r>
    </w:p>
    <w:p w:rsidR="003E7890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- пятница– с 9.00 час. до 17.00</w:t>
      </w:r>
      <w:r w:rsidRPr="0056277F">
        <w:rPr>
          <w:sz w:val="28"/>
          <w:szCs w:val="28"/>
        </w:rPr>
        <w:t xml:space="preserve"> час</w:t>
      </w:r>
      <w:r>
        <w:rPr>
          <w:sz w:val="28"/>
          <w:szCs w:val="28"/>
        </w:rPr>
        <w:t>.;</w:t>
      </w:r>
    </w:p>
    <w:p w:rsidR="003E7890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277F">
        <w:rPr>
          <w:sz w:val="28"/>
          <w:szCs w:val="28"/>
        </w:rPr>
        <w:t>ыходные дни –</w:t>
      </w:r>
      <w:r>
        <w:rPr>
          <w:sz w:val="28"/>
          <w:szCs w:val="28"/>
        </w:rPr>
        <w:t xml:space="preserve"> суббота, </w:t>
      </w:r>
      <w:r w:rsidRPr="0056277F">
        <w:rPr>
          <w:sz w:val="28"/>
          <w:szCs w:val="28"/>
        </w:rPr>
        <w:t>воскресенье, праздничные дни.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3E7890" w:rsidRPr="0056277F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>
        <w:rPr>
          <w:sz w:val="28"/>
          <w:szCs w:val="28"/>
        </w:rPr>
        <w:t xml:space="preserve"> услуги получатели обращаются в администрацию муниципального образования Степановский сельсовет</w:t>
      </w:r>
      <w:r w:rsidRPr="0056277F"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в МФЦ </w:t>
      </w:r>
      <w:r w:rsidRPr="0056277F">
        <w:rPr>
          <w:sz w:val="28"/>
          <w:szCs w:val="28"/>
        </w:rPr>
        <w:t>лично или по телефону.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>
        <w:rPr>
          <w:sz w:val="28"/>
          <w:szCs w:val="28"/>
        </w:rPr>
        <w:t>администрации муниципального образования Степановский сельсовет</w:t>
      </w:r>
      <w:r w:rsidRPr="0056277F">
        <w:rPr>
          <w:sz w:val="28"/>
          <w:szCs w:val="28"/>
        </w:rPr>
        <w:t xml:space="preserve">, специалисты </w:t>
      </w:r>
      <w:r>
        <w:rPr>
          <w:sz w:val="28"/>
          <w:szCs w:val="28"/>
        </w:rPr>
        <w:t xml:space="preserve">МФЦ </w:t>
      </w:r>
      <w:r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>
        <w:rPr>
          <w:sz w:val="28"/>
          <w:szCs w:val="28"/>
        </w:rPr>
        <w:t>администрации муниципального образования Степановский сельсовет</w:t>
      </w:r>
      <w:r w:rsidRPr="0056277F">
        <w:rPr>
          <w:sz w:val="28"/>
          <w:szCs w:val="28"/>
        </w:rPr>
        <w:t xml:space="preserve"> или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муниципальной услуге, размещаемая на информационных стендах администрации муниципального образования Степановский сельсовет, содержит следующие сведения</w:t>
      </w:r>
      <w:r w:rsidRPr="0056277F">
        <w:rPr>
          <w:sz w:val="28"/>
          <w:szCs w:val="28"/>
        </w:rPr>
        <w:t>: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1.3.7.1. </w:t>
      </w:r>
      <w:r w:rsidRPr="0056277F">
        <w:rPr>
          <w:sz w:val="28"/>
          <w:szCs w:val="28"/>
        </w:rPr>
        <w:t>Наименование муниципальной услуги;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>
        <w:rPr>
          <w:sz w:val="28"/>
          <w:szCs w:val="28"/>
        </w:rPr>
        <w:t>электронной почты</w:t>
      </w:r>
      <w:r w:rsidRPr="0056277F">
        <w:rPr>
          <w:sz w:val="28"/>
          <w:szCs w:val="28"/>
        </w:rPr>
        <w:t xml:space="preserve">; 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1.3.7.3.</w:t>
      </w:r>
      <w:r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1.3.7.4.Образец заявления для предоставления муниципальной услуги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3E7890" w:rsidRPr="0056277F" w:rsidRDefault="003E7890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1.3.7.7. Перечень документов, необходимых для получения </w:t>
      </w:r>
      <w:r w:rsidRPr="0056277F">
        <w:rPr>
          <w:sz w:val="28"/>
          <w:szCs w:val="28"/>
        </w:rPr>
        <w:t>муниципальной услуги;</w:t>
      </w:r>
    </w:p>
    <w:p w:rsidR="003E7890" w:rsidRDefault="003E7890" w:rsidP="00DA40FF">
      <w:pPr>
        <w:pStyle w:val="NormalWeb"/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.8. </w:t>
      </w:r>
      <w:r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  <w:r w:rsidRPr="00DA40FF">
        <w:rPr>
          <w:color w:val="FF0000"/>
          <w:sz w:val="28"/>
          <w:szCs w:val="28"/>
        </w:rPr>
        <w:t xml:space="preserve"> </w:t>
      </w:r>
    </w:p>
    <w:p w:rsidR="003E7890" w:rsidRPr="00DA40FF" w:rsidRDefault="003E7890" w:rsidP="00DA40FF">
      <w:pPr>
        <w:pStyle w:val="NormalWeb"/>
        <w:shd w:val="clear" w:color="auto" w:fill="FFFFFF"/>
        <w:ind w:firstLine="709"/>
        <w:jc w:val="both"/>
        <w:rPr>
          <w:sz w:val="20"/>
          <w:szCs w:val="20"/>
        </w:rPr>
      </w:pPr>
      <w:r w:rsidRPr="00DA40FF">
        <w:rPr>
          <w:sz w:val="28"/>
          <w:szCs w:val="28"/>
        </w:rPr>
        <w:t>1.4. Основные понятия, используемые в настоящем Административном регламенте:                                                                                                                                                  1)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                                        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3E7890" w:rsidRPr="00CB6897" w:rsidRDefault="003E7890" w:rsidP="00CB6897">
      <w:pPr>
        <w:widowControl w:val="0"/>
        <w:suppressAutoHyphens/>
        <w:jc w:val="center"/>
        <w:rPr>
          <w:b/>
          <w:bCs/>
          <w:sz w:val="28"/>
          <w:szCs w:val="28"/>
          <w:lang w:eastAsia="en-US"/>
        </w:rPr>
      </w:pPr>
      <w:r w:rsidRPr="00CB6897">
        <w:rPr>
          <w:b/>
          <w:bCs/>
          <w:sz w:val="28"/>
          <w:szCs w:val="28"/>
          <w:lang w:eastAsia="en-US"/>
        </w:rPr>
        <w:t>2. Стандарт предоставления муниципальной услуги</w:t>
      </w:r>
    </w:p>
    <w:p w:rsidR="003E7890" w:rsidRPr="00CB6897" w:rsidRDefault="003E7890" w:rsidP="00CC76AD">
      <w:pPr>
        <w:widowControl w:val="0"/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3E7890" w:rsidRPr="0056277F" w:rsidRDefault="003E7890" w:rsidP="00CC76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3E7890" w:rsidRPr="0056277F" w:rsidRDefault="003E7890" w:rsidP="00CC76A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>
        <w:rPr>
          <w:sz w:val="28"/>
          <w:szCs w:val="28"/>
        </w:rPr>
        <w:t>муниципального образования Степановский сельсовет</w:t>
      </w:r>
      <w:r w:rsidRPr="0056277F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 Оренбургской области (далее – Администрация).</w:t>
      </w:r>
    </w:p>
    <w:p w:rsidR="003E7890" w:rsidRPr="0056277F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3E7890" w:rsidRPr="0056277F" w:rsidRDefault="003E7890" w:rsidP="00CC76A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3E7890" w:rsidRPr="00DA40FF" w:rsidRDefault="003E7890" w:rsidP="00DA40FF">
      <w:pPr>
        <w:rPr>
          <w:sz w:val="28"/>
          <w:szCs w:val="28"/>
        </w:rPr>
      </w:pPr>
      <w:r>
        <w:rPr>
          <w:sz w:val="28"/>
          <w:szCs w:val="28"/>
        </w:rPr>
        <w:t>- отказ</w:t>
      </w:r>
      <w:r w:rsidRPr="0056277F">
        <w:rPr>
          <w:sz w:val="28"/>
          <w:szCs w:val="28"/>
        </w:rPr>
        <w:t xml:space="preserve"> в рассмотрении заявления;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A40FF">
        <w:rPr>
          <w:color w:val="FF0000"/>
          <w:sz w:val="28"/>
          <w:szCs w:val="28"/>
        </w:rPr>
        <w:t xml:space="preserve"> </w:t>
      </w:r>
      <w:r w:rsidRPr="00DA40FF">
        <w:rPr>
          <w:sz w:val="28"/>
          <w:szCs w:val="28"/>
        </w:rPr>
        <w:t>2.4. Срок предоставления муниципальной услуги.                                              Специальное разрешение при наличии соответствующих согласований выдается в срок:                                                                                                                     - 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                                                                - 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3E7890" w:rsidRPr="0056277F" w:rsidRDefault="003E7890" w:rsidP="00CC76AD">
      <w:pPr>
        <w:jc w:val="both"/>
        <w:outlineLvl w:val="0"/>
        <w:rPr>
          <w:kern w:val="36"/>
          <w:sz w:val="28"/>
          <w:szCs w:val="28"/>
        </w:rPr>
      </w:pPr>
      <w:r w:rsidRPr="0056277F">
        <w:rPr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>
        <w:rPr>
          <w:sz w:val="28"/>
          <w:szCs w:val="28"/>
        </w:rPr>
        <w:t xml:space="preserve"> декабря 1995г.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3E7890" w:rsidRPr="00000E69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E7890" w:rsidRPr="00307AD2" w:rsidRDefault="003E7890" w:rsidP="00CC76AD">
      <w:pPr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E7890" w:rsidRDefault="003E7890" w:rsidP="00CC76AD">
      <w:pPr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E7890" w:rsidRDefault="003E7890" w:rsidP="00CC76AD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Степановский сельсовет;</w:t>
      </w:r>
    </w:p>
    <w:p w:rsidR="003E7890" w:rsidRPr="0056277F" w:rsidRDefault="003E7890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3E7890" w:rsidRPr="000D4BDA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3E7890" w:rsidRPr="000D4BDA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>
        <w:rPr>
          <w:color w:val="000000"/>
          <w:sz w:val="28"/>
          <w:szCs w:val="28"/>
        </w:rPr>
        <w:t>выдаче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3E7890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7890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7890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3E7890" w:rsidRPr="00146D99" w:rsidRDefault="003E7890" w:rsidP="00CC76AD">
      <w:pPr>
        <w:jc w:val="both"/>
        <w:rPr>
          <w:rFonts w:ascii="Verdana" w:hAnsi="Verdana" w:cs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7890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3E7890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7890" w:rsidRDefault="003E7890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Администрацию по собственной инициативе.</w:t>
      </w:r>
    </w:p>
    <w:p w:rsidR="003E7890" w:rsidRDefault="003E7890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7890" w:rsidRDefault="003E7890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3E7890" w:rsidRDefault="003E7890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 настоящего Регламента, или с использованием Единого портала государственных и муниципальных услуг (</w:t>
      </w:r>
      <w:hyperlink r:id="rId7" w:history="1">
        <w:r w:rsidRPr="007D33AD">
          <w:rPr>
            <w:rStyle w:val="Hyperlink"/>
            <w:sz w:val="28"/>
            <w:szCs w:val="28"/>
            <w:lang w:val="en-US"/>
          </w:rPr>
          <w:t>www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gosuslugi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ru</w:t>
        </w:r>
      </w:hyperlink>
      <w:r w:rsidRPr="00A71D4E">
        <w:rPr>
          <w:sz w:val="28"/>
          <w:szCs w:val="28"/>
        </w:rPr>
        <w:t xml:space="preserve">) </w:t>
      </w:r>
      <w:r>
        <w:rPr>
          <w:sz w:val="28"/>
          <w:szCs w:val="28"/>
        </w:rPr>
        <w:t>для их рассмотрения соответствии с настоящим Регламентом.</w:t>
      </w:r>
    </w:p>
    <w:p w:rsidR="003E7890" w:rsidRPr="000D4BDA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Запрещается:</w:t>
      </w:r>
    </w:p>
    <w:p w:rsidR="003E7890" w:rsidRPr="000D4BDA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3E7890" w:rsidRPr="000D4BDA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3E7890" w:rsidRPr="000D4BDA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3E7890" w:rsidRPr="000D4BDA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3E7890" w:rsidRPr="00000E69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3E7890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заявление не содержит сведений, установленных п. </w:t>
      </w:r>
      <w:hyperlink r:id="rId8" w:history="1">
        <w:r>
          <w:rPr>
            <w:color w:val="0000FF"/>
            <w:sz w:val="28"/>
            <w:szCs w:val="28"/>
          </w:rPr>
          <w:t>2.6.</w:t>
        </w:r>
      </w:hyperlink>
      <w:r>
        <w:rPr>
          <w:sz w:val="28"/>
          <w:szCs w:val="28"/>
        </w:rPr>
        <w:t xml:space="preserve"> настоящего Регламента;</w:t>
      </w:r>
    </w:p>
    <w:p w:rsidR="003E7890" w:rsidRPr="00000E69" w:rsidRDefault="003E7890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3E7890" w:rsidRDefault="003E7890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3E7890" w:rsidRPr="00CC76AD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у администрации отсутствуют полномочия на выдачу специального разрешения по заявленному маршруту, не проходящему по территории МО _Степановский сельсовет.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3E7890" w:rsidRDefault="003E7890" w:rsidP="00634E6B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 xml:space="preserve">Администрация в случае принятия решения об отказе в выдаче специального разрешения по основаниям, указанным в </w:t>
      </w:r>
      <w:hyperlink w:anchor="Par0" w:history="1">
        <w:r>
          <w:rPr>
            <w:color w:val="0000FF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w:anchor="Par2" w:history="1">
        <w:r>
          <w:rPr>
            <w:color w:val="0000FF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  <w:r w:rsidRPr="00DA40F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3E7890" w:rsidRDefault="003E7890" w:rsidP="00634E6B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осуществляется в размере, в соответствии с </w:t>
      </w:r>
      <w:r>
        <w:rPr>
          <w:color w:val="333333"/>
          <w:sz w:val="28"/>
          <w:szCs w:val="28"/>
        </w:rPr>
        <w:t>подпунктом 111 пункта 1 статьи 333.33 Налогового кодекса Российской Федерации.</w:t>
      </w:r>
    </w:p>
    <w:p w:rsidR="003E7890" w:rsidRPr="000D4BDA" w:rsidRDefault="003E7890" w:rsidP="00634E6B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 </w:t>
      </w:r>
      <w:r w:rsidRPr="00634E6B">
        <w:rPr>
          <w:color w:val="333333"/>
          <w:sz w:val="28"/>
          <w:szCs w:val="28"/>
        </w:rPr>
        <w:t>2.1</w:t>
      </w:r>
      <w:r w:rsidRPr="00634E6B"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>
        <w:rPr>
          <w:color w:val="000000"/>
          <w:sz w:val="28"/>
          <w:szCs w:val="28"/>
        </w:rPr>
        <w:t>анных в пункте 2.7. Регламента.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Портале:</w:t>
      </w:r>
    </w:p>
    <w:p w:rsidR="003E7890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стандарта предоставления муниципальной услуги.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3E7890" w:rsidRPr="000D4BDA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3E7890" w:rsidRPr="004F3AC1" w:rsidRDefault="003E7890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обоснованных жалоб со стороны заявителей по результатам предоставления муниципальной услуги.</w:t>
      </w:r>
    </w:p>
    <w:p w:rsidR="003E7890" w:rsidRPr="004F3AC1" w:rsidRDefault="003E7890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3E7890" w:rsidRPr="004F3AC1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3E7890" w:rsidRPr="004F3AC1" w:rsidRDefault="003E7890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sz w:val="28"/>
          <w:szCs w:val="28"/>
          <w:lang w:eastAsia="en-US"/>
        </w:rPr>
        <w:t>.</w:t>
      </w:r>
    </w:p>
    <w:p w:rsidR="003E7890" w:rsidRPr="004F3AC1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3E7890" w:rsidRDefault="003E7890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3E7890" w:rsidRDefault="003E7890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E7890" w:rsidRPr="004F3AC1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>
        <w:rPr>
          <w:sz w:val="28"/>
          <w:szCs w:val="28"/>
        </w:rPr>
        <w:t>ургской области, в том числе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sz w:val="28"/>
          <w:szCs w:val="28"/>
          <w:lang w:eastAsia="en-US"/>
        </w:rPr>
        <w:t>средствами связи и информации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3E7890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3E7890" w:rsidRPr="004F3AC1" w:rsidRDefault="003E7890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3E7890" w:rsidRDefault="003E7890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E7890" w:rsidRPr="00F267AB" w:rsidRDefault="003E7890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3E7890" w:rsidRDefault="003E7890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3E7890" w:rsidRPr="00F267AB" w:rsidRDefault="003E7890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>
        <w:rPr>
          <w:color w:val="000000"/>
          <w:sz w:val="28"/>
          <w:szCs w:val="28"/>
        </w:rPr>
        <w:t>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 предоставлении муниципальной услуги</w:t>
      </w:r>
      <w:r w:rsidRPr="000D4BDA">
        <w:rPr>
          <w:color w:val="000000"/>
          <w:sz w:val="28"/>
          <w:szCs w:val="28"/>
        </w:rPr>
        <w:t>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>
        <w:rPr>
          <w:color w:val="000000"/>
          <w:sz w:val="28"/>
          <w:szCs w:val="28"/>
        </w:rPr>
        <w:t xml:space="preserve">Администрацию или в МФЦ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Pr="000D4BDA">
        <w:rPr>
          <w:color w:val="000000"/>
          <w:sz w:val="28"/>
          <w:szCs w:val="28"/>
        </w:rPr>
        <w:t xml:space="preserve">. Специалист, </w:t>
      </w:r>
      <w:r>
        <w:rPr>
          <w:color w:val="000000"/>
          <w:sz w:val="28"/>
          <w:szCs w:val="28"/>
        </w:rPr>
        <w:t>ответственный за прием документов</w:t>
      </w:r>
      <w:r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>
        <w:rPr>
          <w:color w:val="000000"/>
          <w:sz w:val="28"/>
          <w:szCs w:val="28"/>
        </w:rPr>
        <w:t>го действия не может превышать 2</w:t>
      </w:r>
      <w:r w:rsidRPr="000D4BDA">
        <w:rPr>
          <w:color w:val="000000"/>
          <w:sz w:val="28"/>
          <w:szCs w:val="28"/>
        </w:rPr>
        <w:t>0 минут.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В случае приема документов в МФЦ 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3E7890" w:rsidRPr="000261E8" w:rsidRDefault="003E7890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Pr="000261E8">
        <w:rPr>
          <w:color w:val="000000"/>
          <w:sz w:val="28"/>
          <w:szCs w:val="28"/>
        </w:rPr>
        <w:t xml:space="preserve">. </w:t>
      </w:r>
      <w:r w:rsidRPr="000261E8">
        <w:rPr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3E7890" w:rsidRPr="000261E8" w:rsidRDefault="003E7890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3E7890" w:rsidRDefault="003E7890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>
        <w:rPr>
          <w:color w:val="000000"/>
          <w:sz w:val="28"/>
          <w:szCs w:val="28"/>
        </w:rPr>
        <w:t>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Pr="00046FC9">
        <w:rPr>
          <w:sz w:val="28"/>
          <w:szCs w:val="28"/>
        </w:rPr>
        <w:t xml:space="preserve"> О</w:t>
      </w:r>
      <w:r w:rsidRPr="00046FC9">
        <w:rPr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>
        <w:rPr>
          <w:sz w:val="28"/>
          <w:szCs w:val="28"/>
          <w:lang w:eastAsia="en-US"/>
        </w:rPr>
        <w:t>главе муниципального образования или его заместителю</w:t>
      </w:r>
      <w:r w:rsidRPr="00046FC9">
        <w:rPr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>
        <w:rPr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муниципального образования 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>
        <w:rPr>
          <w:color w:val="000000"/>
          <w:sz w:val="28"/>
          <w:szCs w:val="28"/>
        </w:rPr>
        <w:t>выдачи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течение четырех рабочих дней со дня регистрации заявления: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Администрация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п. 2.6. настоящего Регламента, и копий согласований маршрута транспортного средства. 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3E7890" w:rsidRPr="00650613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3.3.3.</w:t>
      </w:r>
      <w:r>
        <w:rPr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>
        <w:rPr>
          <w:color w:val="000000"/>
          <w:sz w:val="28"/>
          <w:szCs w:val="28"/>
        </w:rPr>
        <w:t xml:space="preserve">в течение 2 рабочих </w:t>
      </w:r>
      <w:r w:rsidRPr="000D4BDA">
        <w:rPr>
          <w:color w:val="000000"/>
          <w:sz w:val="28"/>
          <w:szCs w:val="28"/>
        </w:rPr>
        <w:t xml:space="preserve">дней о возможности или невозможности выдачи </w:t>
      </w:r>
      <w:r>
        <w:rPr>
          <w:color w:val="000000"/>
          <w:sz w:val="28"/>
          <w:szCs w:val="28"/>
        </w:rPr>
        <w:t xml:space="preserve"> специального </w:t>
      </w:r>
      <w:r w:rsidRPr="000D4BDA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>. О</w:t>
      </w:r>
      <w:r w:rsidRPr="000D4BDA">
        <w:rPr>
          <w:color w:val="000000"/>
          <w:sz w:val="28"/>
          <w:szCs w:val="28"/>
        </w:rPr>
        <w:t>формляет</w:t>
      </w:r>
      <w:r>
        <w:rPr>
          <w:color w:val="000000"/>
          <w:sz w:val="28"/>
          <w:szCs w:val="28"/>
        </w:rPr>
        <w:t xml:space="preserve"> специальное разрешение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При отказе </w:t>
      </w:r>
      <w:r>
        <w:rPr>
          <w:color w:val="000000"/>
          <w:sz w:val="28"/>
          <w:szCs w:val="28"/>
        </w:rPr>
        <w:t xml:space="preserve">в </w:t>
      </w:r>
      <w:r w:rsidRPr="000D4BDA">
        <w:rPr>
          <w:color w:val="000000"/>
          <w:sz w:val="28"/>
          <w:szCs w:val="28"/>
        </w:rPr>
        <w:t>выдаче разрешения</w:t>
      </w:r>
      <w:r>
        <w:rPr>
          <w:color w:val="000000"/>
          <w:sz w:val="28"/>
          <w:szCs w:val="28"/>
        </w:rPr>
        <w:t xml:space="preserve"> ответственный исполнитель готовит уведомление об отказе в</w:t>
      </w:r>
      <w:r>
        <w:rPr>
          <w:sz w:val="28"/>
          <w:szCs w:val="28"/>
        </w:rPr>
        <w:t xml:space="preserve"> выдаче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Срок исполнения 5 </w:t>
      </w:r>
      <w:r>
        <w:rPr>
          <w:color w:val="000000"/>
          <w:sz w:val="28"/>
          <w:szCs w:val="28"/>
        </w:rPr>
        <w:t xml:space="preserve">рабочих </w:t>
      </w:r>
      <w:r w:rsidRPr="000D4BDA">
        <w:rPr>
          <w:color w:val="000000"/>
          <w:sz w:val="28"/>
          <w:szCs w:val="28"/>
        </w:rPr>
        <w:t>дней.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Разрешение или уведомление об отказе</w:t>
      </w:r>
      <w:r>
        <w:rPr>
          <w:color w:val="000000"/>
          <w:sz w:val="28"/>
          <w:szCs w:val="28"/>
        </w:rPr>
        <w:t xml:space="preserve"> в</w:t>
      </w:r>
      <w:r w:rsidRPr="000D4BDA">
        <w:rPr>
          <w:color w:val="000000"/>
          <w:sz w:val="28"/>
          <w:szCs w:val="28"/>
        </w:rPr>
        <w:t>выдач</w:t>
      </w:r>
      <w:r>
        <w:rPr>
          <w:color w:val="000000"/>
          <w:sz w:val="28"/>
          <w:szCs w:val="28"/>
        </w:rPr>
        <w:t>е разрешения визируется главой муниципального образования Степановский сельсовет</w:t>
      </w:r>
      <w:r w:rsidRPr="000D4BD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уполномоченным лицом </w:t>
      </w:r>
      <w:r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>
        <w:rPr>
          <w:color w:val="000000"/>
          <w:sz w:val="28"/>
          <w:szCs w:val="28"/>
        </w:rPr>
        <w:t xml:space="preserve"> администрации муниципального образования Степановский сельсовет</w:t>
      </w:r>
      <w:r w:rsidRPr="000D4BD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ответственному за отправку почты, и ответственному исполнителю.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 При личном обращении заявителя</w:t>
      </w:r>
      <w:r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>
        <w:rPr>
          <w:color w:val="000000"/>
          <w:sz w:val="28"/>
          <w:szCs w:val="28"/>
        </w:rPr>
        <w:t>ответственный исполнитель</w:t>
      </w:r>
      <w:r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3.3.7</w:t>
      </w:r>
      <w:r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3.3.8</w:t>
      </w:r>
      <w:r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>
        <w:rPr>
          <w:color w:val="000000"/>
          <w:sz w:val="28"/>
          <w:szCs w:val="28"/>
        </w:rPr>
        <w:t>Степановский сельсовет</w:t>
      </w:r>
      <w:r w:rsidRPr="000D4BDA">
        <w:rPr>
          <w:color w:val="000000"/>
          <w:sz w:val="28"/>
          <w:szCs w:val="28"/>
        </w:rPr>
        <w:t xml:space="preserve">, принимаются и регистрируются </w:t>
      </w:r>
      <w:r>
        <w:rPr>
          <w:color w:val="000000"/>
          <w:sz w:val="28"/>
          <w:szCs w:val="28"/>
        </w:rPr>
        <w:t>специалистом администрации муниципального образования Степановский сельсовет</w:t>
      </w:r>
      <w:r w:rsidRPr="000D4BDA">
        <w:rPr>
          <w:color w:val="000000"/>
          <w:sz w:val="28"/>
          <w:szCs w:val="28"/>
        </w:rPr>
        <w:t>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3.3.9</w:t>
      </w:r>
      <w:r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3E7890" w:rsidRPr="00046FC9" w:rsidRDefault="003E7890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решения в</w:t>
      </w:r>
      <w:r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(либо об отказе) является заключение администрации муниципального образования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Степановский 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отовит проект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 (Приложение №4</w:t>
      </w:r>
      <w:r w:rsidRPr="000D4B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>
        <w:rPr>
          <w:color w:val="000000"/>
          <w:sz w:val="28"/>
          <w:szCs w:val="28"/>
        </w:rPr>
        <w:t>едомление о принятом решении.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3E7890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3E7890" w:rsidRPr="00060E9F" w:rsidRDefault="003E7890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3E7890" w:rsidRPr="000D4BDA" w:rsidRDefault="003E7890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3E7890" w:rsidRPr="0025648F" w:rsidRDefault="003E7890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Pr="0005659B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r>
        <w:rPr>
          <w:color w:val="000000"/>
          <w:sz w:val="28"/>
          <w:szCs w:val="28"/>
        </w:rPr>
        <w:t xml:space="preserve"> </w:t>
      </w:r>
      <w:r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или его заместителем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3E7890" w:rsidRPr="0025648F" w:rsidRDefault="003E7890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890" w:rsidRPr="0025648F" w:rsidRDefault="003E7890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3E7890" w:rsidRDefault="003E7890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>
        <w:rPr>
          <w:sz w:val="28"/>
          <w:szCs w:val="28"/>
        </w:rPr>
        <w:t>заместителем</w:t>
      </w:r>
      <w:r w:rsidRPr="0069497D">
        <w:rPr>
          <w:sz w:val="28"/>
          <w:szCs w:val="28"/>
        </w:rPr>
        <w:t xml:space="preserve">  главы </w:t>
      </w:r>
      <w:r>
        <w:rPr>
          <w:sz w:val="28"/>
          <w:szCs w:val="28"/>
        </w:rPr>
        <w:t xml:space="preserve"> администрации </w:t>
      </w:r>
      <w:r w:rsidRPr="0005659B">
        <w:rPr>
          <w:color w:val="000000"/>
          <w:sz w:val="28"/>
          <w:szCs w:val="28"/>
        </w:rPr>
        <w:t>Степановский</w:t>
      </w:r>
      <w:r w:rsidRPr="0066451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E7890" w:rsidRPr="000D4BDA" w:rsidRDefault="003E7890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Контроль </w:t>
      </w:r>
      <w:r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7890" w:rsidRPr="000D4BDA" w:rsidRDefault="003E7890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3E7890" w:rsidRPr="000D4BDA" w:rsidRDefault="003E7890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7890" w:rsidRDefault="003E7890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3E7890" w:rsidRDefault="003E7890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7890" w:rsidRPr="000D4BDA" w:rsidRDefault="003E7890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7890" w:rsidRDefault="003E7890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Pr="002A0936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3E7890" w:rsidRDefault="003E7890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E7890" w:rsidRPr="002A0936" w:rsidRDefault="003E7890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жалобуна решение и (или) действие (бездействие)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5) отказ в предоставлении муниципальной услуги,</w:t>
      </w:r>
      <w:r>
        <w:rPr>
          <w:sz w:val="28"/>
          <w:szCs w:val="28"/>
          <w:lang w:eastAsia="en-US"/>
        </w:rPr>
        <w:t xml:space="preserve"> </w:t>
      </w:r>
      <w:r w:rsidRPr="002A0936">
        <w:rPr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6) за</w:t>
      </w:r>
      <w:r>
        <w:rPr>
          <w:sz w:val="28"/>
          <w:szCs w:val="28"/>
          <w:lang w:eastAsia="en-US"/>
        </w:rPr>
        <w:t xml:space="preserve"> </w:t>
      </w:r>
      <w:r w:rsidRPr="002A0936">
        <w:rPr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3E7890" w:rsidRPr="00DC2C9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3F62">
        <w:rPr>
          <w:sz w:val="28"/>
          <w:szCs w:val="28"/>
          <w:lang w:eastAsia="en-US"/>
        </w:rPr>
        <w:t xml:space="preserve">5.2. </w:t>
      </w:r>
      <w:r w:rsidRPr="002A0936">
        <w:rPr>
          <w:sz w:val="28"/>
          <w:szCs w:val="28"/>
          <w:lang w:eastAsia="en-US"/>
        </w:rPr>
        <w:t>Предмет жалобы</w:t>
      </w:r>
      <w:r>
        <w:rPr>
          <w:sz w:val="28"/>
          <w:szCs w:val="28"/>
          <w:lang w:eastAsia="en-US"/>
        </w:rPr>
        <w:t>: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  <w:r w:rsidRPr="0005659B">
        <w:rPr>
          <w:color w:val="000000"/>
          <w:sz w:val="28"/>
          <w:szCs w:val="28"/>
        </w:rPr>
        <w:t>Степановский</w:t>
      </w:r>
      <w:r w:rsidRPr="00664511">
        <w:rPr>
          <w:sz w:val="28"/>
          <w:szCs w:val="28"/>
        </w:rPr>
        <w:t xml:space="preserve"> сельсовет </w:t>
      </w:r>
      <w:r w:rsidRPr="002A0936">
        <w:rPr>
          <w:sz w:val="28"/>
          <w:szCs w:val="28"/>
          <w:lang w:eastAsia="en-US"/>
        </w:rPr>
        <w:t xml:space="preserve">и его должностных лиц, муниципальных служащих </w:t>
      </w: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  <w:r w:rsidRPr="0005659B">
        <w:rPr>
          <w:color w:val="000000"/>
          <w:sz w:val="28"/>
          <w:szCs w:val="28"/>
        </w:rPr>
        <w:t>Степановский</w:t>
      </w:r>
      <w:r w:rsidRPr="0066451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Ташлинского района </w:t>
      </w:r>
      <w:r w:rsidRPr="002A0936">
        <w:rPr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должна содержать: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890" w:rsidRPr="00F2399F" w:rsidRDefault="003E7890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5.3. Органы  государственной власти, органы местного самоуправления и уполномоченныена рассмотрение жалобы должностные лица,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которым может быть направлена жалоба</w:t>
      </w:r>
      <w:r>
        <w:rPr>
          <w:sz w:val="28"/>
          <w:szCs w:val="28"/>
          <w:lang w:eastAsia="en-US"/>
        </w:rPr>
        <w:t>: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рассматривается о</w:t>
      </w:r>
      <w:r>
        <w:rPr>
          <w:sz w:val="28"/>
          <w:szCs w:val="28"/>
          <w:lang w:eastAsia="en-US"/>
        </w:rPr>
        <w:t>рганом местного самоуправления</w:t>
      </w:r>
      <w:r w:rsidRPr="002A0936">
        <w:rPr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7890" w:rsidRPr="00DC2C9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3E7890" w:rsidRPr="00C064FB" w:rsidRDefault="003E7890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5.4. Порядок подачи и рассмотрения жалобы</w:t>
      </w:r>
      <w:r>
        <w:rPr>
          <w:sz w:val="28"/>
          <w:szCs w:val="28"/>
          <w:lang w:eastAsia="en-US"/>
        </w:rPr>
        <w:t>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подается в письменной форме на бумажном носителепо почте, через</w:t>
      </w:r>
      <w:r>
        <w:rPr>
          <w:sz w:val="28"/>
          <w:szCs w:val="28"/>
          <w:lang w:eastAsia="en-US"/>
        </w:rPr>
        <w:t xml:space="preserve"> МФЦ, </w:t>
      </w:r>
      <w:r w:rsidRPr="002A0936">
        <w:rPr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  <w:r w:rsidRPr="0005659B">
        <w:rPr>
          <w:color w:val="000000"/>
          <w:sz w:val="28"/>
          <w:szCs w:val="28"/>
        </w:rPr>
        <w:t>Степановский</w:t>
      </w:r>
      <w:r w:rsidRPr="00664511">
        <w:rPr>
          <w:sz w:val="28"/>
          <w:szCs w:val="28"/>
        </w:rPr>
        <w:t xml:space="preserve"> сельсовет</w:t>
      </w:r>
      <w:r>
        <w:rPr>
          <w:sz w:val="28"/>
          <w:szCs w:val="28"/>
          <w:lang w:eastAsia="en-US"/>
        </w:rPr>
        <w:t>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>
        <w:rPr>
          <w:sz w:val="28"/>
          <w:szCs w:val="28"/>
          <w:lang w:eastAsia="en-US"/>
        </w:rPr>
        <w:t>администрации</w:t>
      </w:r>
      <w:r w:rsidRPr="002A0936">
        <w:rPr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E7890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E7890" w:rsidRPr="00C064FB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5.5. Сроки рассмотрения жалобы</w:t>
      </w:r>
    </w:p>
    <w:p w:rsidR="003E7890" w:rsidRPr="00DC2C9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3E7890" w:rsidRPr="00C064FB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5.6. Результат рассмотрения жалобы</w:t>
      </w:r>
      <w:r>
        <w:rPr>
          <w:sz w:val="28"/>
          <w:szCs w:val="28"/>
          <w:lang w:eastAsia="en-US"/>
        </w:rPr>
        <w:t>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3E7890" w:rsidRPr="00DC2C9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отказывает в удовлетворении жалобы.</w:t>
      </w:r>
    </w:p>
    <w:p w:rsidR="003E7890" w:rsidRPr="00C064FB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sz w:val="28"/>
            <w:szCs w:val="28"/>
            <w:lang w:eastAsia="en-US"/>
          </w:rPr>
          <w:t>пункте</w:t>
        </w:r>
      </w:hyperlink>
      <w:r>
        <w:rPr>
          <w:sz w:val="28"/>
          <w:szCs w:val="28"/>
          <w:lang w:eastAsia="en-US"/>
        </w:rPr>
        <w:t>5.6</w:t>
      </w:r>
      <w:r w:rsidRPr="002A0936">
        <w:rPr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890" w:rsidRPr="00DC2C9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E7890" w:rsidRPr="00C064FB" w:rsidRDefault="003E7890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>5.8. 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3E7890" w:rsidRPr="00DC2C9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вправе обжаловать принятое по жалобе реше</w:t>
      </w:r>
      <w:r>
        <w:rPr>
          <w:sz w:val="28"/>
          <w:szCs w:val="28"/>
          <w:lang w:eastAsia="en-US"/>
        </w:rPr>
        <w:t>ние в порядке, установленном</w:t>
      </w:r>
      <w:r w:rsidRPr="002A0936">
        <w:rPr>
          <w:sz w:val="28"/>
          <w:szCs w:val="28"/>
          <w:lang w:eastAsia="en-US"/>
        </w:rPr>
        <w:t xml:space="preserve"> пунктом </w:t>
      </w:r>
      <w:r w:rsidRPr="00E817EC">
        <w:rPr>
          <w:sz w:val="28"/>
          <w:szCs w:val="28"/>
          <w:lang w:eastAsia="en-US"/>
        </w:rPr>
        <w:t xml:space="preserve">5.4. </w:t>
      </w:r>
      <w:r w:rsidRPr="002A0936"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 xml:space="preserve">Административного </w:t>
      </w:r>
      <w:r w:rsidRPr="002A0936">
        <w:rPr>
          <w:sz w:val="28"/>
          <w:szCs w:val="28"/>
          <w:lang w:eastAsia="en-US"/>
        </w:rPr>
        <w:t>регламента.</w:t>
      </w:r>
    </w:p>
    <w:p w:rsidR="003E7890" w:rsidRPr="00C064FB" w:rsidRDefault="003E7890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5.9. Право заявителя на получение информации и документов,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необходимых для обоснования и рассмотрения жалобы</w:t>
      </w:r>
    </w:p>
    <w:p w:rsidR="003E7890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5.10. Способы информирования заявителяо порядке подачи и рассмотрения жалобы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3E7890" w:rsidRPr="002A0936" w:rsidRDefault="003E7890" w:rsidP="004B4E6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3E7890" w:rsidRPr="002A0936" w:rsidRDefault="003E7890" w:rsidP="002A093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E7890" w:rsidRPr="002A0936" w:rsidRDefault="003E7890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Pr="009C4D22" w:rsidRDefault="003E7890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3E7890" w:rsidRPr="009C4D22" w:rsidRDefault="003E7890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3E7890" w:rsidRPr="00551C20" w:rsidRDefault="003E789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3E7890" w:rsidRDefault="003E7890" w:rsidP="009C4D2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E7890" w:rsidRPr="009C4D22" w:rsidRDefault="003E7890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3E7890" w:rsidRDefault="003E7890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3E7890" w:rsidRPr="00743461" w:rsidRDefault="003E7890" w:rsidP="0074346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3461">
        <w:rPr>
          <w:b/>
          <w:bCs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3E7890" w:rsidRPr="00F37948" w:rsidRDefault="003E7890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E7890" w:rsidRPr="00E548F8" w:rsidRDefault="003E7890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42368;visibility:visible">
            <v:textbox>
              <w:txbxContent>
                <w:p w:rsidR="003E7890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3E7890" w:rsidRDefault="003E7890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3E7890" w:rsidRDefault="003E7890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27" style="position:absolute;left:0;text-align:left;z-index:251643392;visibility:visible" from="254.15pt,5.4pt" to="254.15pt,23.4pt">
            <v:stroke endarrow="block"/>
          </v:line>
        </w:pict>
      </w:r>
    </w:p>
    <w:p w:rsidR="003E7890" w:rsidRDefault="003E7890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8" style="position:absolute;left:0;text-align:left;margin-left:152.15pt;margin-top:.85pt;width:204pt;height:36pt;z-index:251644416;visibility:visible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3E7890" w:rsidRDefault="003E7890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rect id="Прямоугольник 38" o:spid="_x0000_s1029" style="position:absolute;left:0;text-align:left;margin-left:141.45pt;margin-top:223.8pt;width:210.75pt;height:75pt;z-index:251658752;visibility:visible">
            <v:textbox>
              <w:txbxContent>
                <w:p w:rsidR="003E7890" w:rsidRPr="00C77C5A" w:rsidRDefault="003E7890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30" style="position:absolute;left:0;text-align:left;margin-left:151.95pt;margin-top:442.8pt;width:204pt;height:30.75pt;z-index:251668992;visibility:visible">
            <v:textbox>
              <w:txbxContent>
                <w:p w:rsidR="003E7890" w:rsidRPr="00BE5FA9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3E7890" w:rsidRPr="00B80846" w:rsidRDefault="003E7890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31" style="position:absolute;left:0;text-align:left;z-index:251667968;visibility:visible" from="260.15pt,423.05pt" to="260.15pt,441.05pt">
            <v:stroke endarrow="block"/>
          </v:line>
        </w:pict>
      </w:r>
      <w:r>
        <w:rPr>
          <w:noProof/>
        </w:rPr>
        <w:pict>
          <v:rect id="Прямоугольник 39" o:spid="_x0000_s1032" style="position:absolute;left:0;text-align:left;margin-left:340.95pt;margin-top:373.8pt;width:132pt;height:27pt;z-index:251663872;visibility:visible">
            <v:textbox>
              <w:txbxContent>
                <w:p w:rsidR="003E7890" w:rsidRPr="00817D80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33" style="position:absolute;left:0;text-align:left;flip:x;z-index:251666944;visibility:visible" from="115.95pt,423.3pt" to="258.45pt,423.3pt"/>
        </w:pict>
      </w:r>
      <w:r>
        <w:rPr>
          <w:noProof/>
        </w:rPr>
        <w:pict>
          <v:line id="Прямая соединительная линия 28" o:spid="_x0000_s1034" style="position:absolute;left:0;text-align:left;z-index:251665920;visibility:visible" from="116.15pt,356.3pt" to="116.15pt,422.3pt"/>
        </w:pict>
      </w:r>
      <w:r>
        <w:rPr>
          <w:noProof/>
        </w:rPr>
        <w:pict>
          <v:line id="Прямая соединительная линия 26" o:spid="_x0000_s1035" style="position:absolute;left:0;text-align:left;z-index:251662848;visibility:visible" from="400.4pt,355.55pt" to="400.4pt,373.55pt">
            <v:stroke endarrow="block"/>
          </v:line>
        </w:pict>
      </w:r>
      <w:r>
        <w:rPr>
          <w:noProof/>
        </w:rPr>
        <w:pict>
          <v:rect id="Прямоугольник 33" o:spid="_x0000_s1036" style="position:absolute;left:0;text-align:left;margin-left:359.15pt;margin-top:331.55pt;width:30pt;height:18pt;z-index:251670016;visibility:visible" stroked="f">
            <v:textbox>
              <w:txbxContent>
                <w:p w:rsidR="003E7890" w:rsidRPr="00746125" w:rsidRDefault="003E7890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7" style="position:absolute;left:0;text-align:left;margin-left:122.9pt;margin-top:331.55pt;width:30pt;height:18pt;z-index:251673088;visibility:visible" stroked="f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38" style="position:absolute;left:0;text-align:left;z-index:251664896;visibility:visible" from="116.15pt,355.55pt" to="164.15pt,355.55pt"/>
        </w:pict>
      </w:r>
      <w:r>
        <w:rPr>
          <w:noProof/>
        </w:rPr>
        <w:pict>
          <v:line id="Прямая соединительная линия 25" o:spid="_x0000_s1039" style="position:absolute;left:0;text-align:left;z-index:251661824;visibility:visible" from="352.4pt,354.8pt" to="400.4pt,354.8pt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40" type="#_x0000_t110" style="position:absolute;left:0;text-align:left;margin-left:163.2pt;margin-top:321.3pt;width:189pt;height:66pt;z-index:251660800;visibility:visible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3E7890" w:rsidRPr="00A2198C" w:rsidRDefault="003E7890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41" style="position:absolute;left:0;text-align:left;z-index:251659776;visibility:visible" from="258.65pt,303.05pt" to="258.65pt,321.05pt">
            <v:stroke endarrow="block"/>
          </v:line>
        </w:pict>
      </w:r>
      <w:r>
        <w:rPr>
          <w:noProof/>
        </w:rPr>
        <w:pict>
          <v:line id="Прямая соединительная линия 22" o:spid="_x0000_s1042" style="position:absolute;left:0;text-align:left;flip:x;z-index:251656704;visibility:visible" from="103.95pt,230.55pt" to="254.7pt,230.55pt"/>
        </w:pict>
      </w:r>
      <w:r>
        <w:rPr>
          <w:noProof/>
        </w:rPr>
        <w:pict>
          <v:line id="Прямая соединительная линия 20" o:spid="_x0000_s1043" style="position:absolute;left:0;text-align:left;z-index:251655680;visibility:visible" from="254.9pt,230.3pt" to="254.9pt,248.3pt">
            <v:stroke endarrow="block"/>
          </v:line>
        </w:pict>
      </w:r>
      <w:r>
        <w:rPr>
          <w:noProof/>
        </w:rPr>
        <w:pict>
          <v:line id="Прямая соединительная линия 21" o:spid="_x0000_s1044" style="position:absolute;left:0;text-align:left;z-index:251657728;visibility:visible" from="104.15pt,164.3pt" to="104.15pt,230.3pt"/>
        </w:pict>
      </w:r>
      <w:r>
        <w:rPr>
          <w:noProof/>
        </w:rPr>
        <w:pict>
          <v:line id="Прямая соединительная линия 18" o:spid="_x0000_s1045" style="position:absolute;left:0;text-align:left;z-index:251653632;visibility:visible" from="104.15pt,164.3pt" to="152.15pt,164.3pt"/>
        </w:pict>
      </w:r>
      <w:r>
        <w:rPr>
          <w:noProof/>
        </w:rPr>
        <w:pict>
          <v:rect id="Прямоугольник 35" o:spid="_x0000_s1046" style="position:absolute;left:0;text-align:left;margin-left:86.15pt;margin-top:144.8pt;width:30pt;height:18pt;z-index:251672064;visibility:visible" stroked="f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47" style="position:absolute;left:0;text-align:left;margin-left:373.95pt;margin-top:188.55pt;width:103.5pt;height:35.25pt;z-index:251651584;visibility:visible">
            <v:textbox>
              <w:txbxContent>
                <w:p w:rsidR="003E7890" w:rsidRPr="00817D80" w:rsidRDefault="003E7890" w:rsidP="00FF4C85">
                  <w:pPr>
                    <w:jc w:val="center"/>
                    <w:rPr>
                      <w:sz w:val="12"/>
                      <w:szCs w:val="12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2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8" style="position:absolute;left:0;text-align:left;z-index:251654656;visibility:visible" from="408.65pt,164.3pt" to="408.65pt,182.3pt">
            <v:stroke endarrow="block"/>
          </v:line>
        </w:pict>
      </w:r>
      <w:r>
        <w:rPr>
          <w:noProof/>
        </w:rPr>
        <w:pict>
          <v:line id="Прямая соединительная линия 17" o:spid="_x0000_s1049" style="position:absolute;left:0;text-align:left;z-index:251652608;visibility:visible" from="362.15pt,164.3pt" to="410.15pt,164.3pt"/>
        </w:pict>
      </w:r>
      <w:r>
        <w:rPr>
          <w:noProof/>
        </w:rPr>
        <w:pict>
          <v:rect id="Прямоугольник 32" o:spid="_x0000_s1050" style="position:absolute;left:0;text-align:left;margin-left:392.15pt;margin-top:142.55pt;width:30pt;height:18pt;z-index:251671040;visibility:visible" stroked="f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Блок-схема: решение 16" o:spid="_x0000_s1051" type="#_x0000_t110" style="position:absolute;left:0;text-align:left;margin-left:151.95pt;margin-top:134.55pt;width:210pt;height:63.75pt;z-index:251650560;visibility:visible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3E7890" w:rsidRPr="00A2198C" w:rsidRDefault="003E7890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6" o:spid="_x0000_s1052" style="position:absolute;left:0;text-align:left;margin-left:153pt;margin-top:32.95pt;width:204pt;height:34.25pt;z-index:251646464;visibility:visible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53" style="position:absolute;left:0;text-align:left;z-index:251649536;visibility:visible" from="254.15pt,116.3pt" to="254.15pt,134.3pt">
            <v:stroke endarrow="block"/>
          </v:line>
        </w:pict>
      </w:r>
      <w:r>
        <w:rPr>
          <w:noProof/>
        </w:rPr>
        <w:pict>
          <v:rect id="Прямоугольник 14" o:spid="_x0000_s1054" style="position:absolute;left:0;text-align:left;margin-left:152.15pt;margin-top:74.3pt;width:204pt;height:42pt;z-index:251647488;visibility:visible">
            <v:textbox>
              <w:txbxContent>
                <w:p w:rsidR="003E7890" w:rsidRPr="00C77C5A" w:rsidRDefault="003E789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55" style="position:absolute;left:0;text-align:left;z-index:251648512;visibility:visible" from="254.15pt,56.3pt" to="254.15pt,74.3pt">
            <v:stroke endarrow="block"/>
          </v:line>
        </w:pict>
      </w:r>
      <w:r>
        <w:rPr>
          <w:noProof/>
        </w:rPr>
        <w:pict>
          <v:line id="Прямая соединительная линия 12" o:spid="_x0000_s1056" style="position:absolute;left:0;text-align:left;z-index:251645440;visibility:visible" from="254.15pt,14.3pt" to="254.15pt,32.3pt">
            <v:stroke endarrow="block"/>
          </v:line>
        </w:pict>
      </w:r>
      <w:r w:rsidRPr="006F23B1">
        <w:rPr>
          <w:spacing w:val="-3"/>
          <w:sz w:val="28"/>
          <w:szCs w:val="28"/>
        </w:rPr>
        <w:br w:type="page"/>
      </w:r>
    </w:p>
    <w:p w:rsidR="003E7890" w:rsidRDefault="003E7890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Pr="009C4D22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3E7890" w:rsidRPr="009C4D22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E7890" w:rsidRDefault="003E7890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7890" w:rsidRPr="007F1210" w:rsidRDefault="003E7890" w:rsidP="007F1210">
      <w:pPr>
        <w:autoSpaceDE w:val="0"/>
        <w:autoSpaceDN w:val="0"/>
        <w:spacing w:before="240"/>
        <w:ind w:right="5727"/>
        <w:jc w:val="center"/>
        <w:rPr>
          <w:sz w:val="22"/>
          <w:szCs w:val="22"/>
        </w:rPr>
      </w:pPr>
      <w:r w:rsidRPr="007F1210">
        <w:rPr>
          <w:b/>
          <w:bCs/>
          <w:sz w:val="22"/>
          <w:szCs w:val="22"/>
        </w:rPr>
        <w:t>Реквизиты заявителя</w:t>
      </w:r>
    </w:p>
    <w:p w:rsidR="003E7890" w:rsidRPr="007F1210" w:rsidRDefault="003E7890" w:rsidP="007F1210">
      <w:pPr>
        <w:autoSpaceDE w:val="0"/>
        <w:autoSpaceDN w:val="0"/>
        <w:ind w:right="5755"/>
        <w:jc w:val="both"/>
      </w:pPr>
      <w:r w:rsidRPr="007F1210">
        <w:t>(наименование, адрес (местонахождение) – для юридических лиц, Ф.И.О., адрес</w:t>
      </w:r>
      <w:r w:rsidRPr="007F1210">
        <w:br/>
        <w:t>места жительства – для индивидуальных предпринимателей и физических лиц)</w:t>
      </w:r>
    </w:p>
    <w:p w:rsidR="003E7890" w:rsidRPr="007F1210" w:rsidRDefault="003E7890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3E7890" w:rsidRP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</w:pPr>
            <w:r w:rsidRPr="007F1210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  <w:jc w:val="center"/>
            </w:pPr>
          </w:p>
        </w:tc>
      </w:tr>
    </w:tbl>
    <w:p w:rsidR="003E7890" w:rsidRPr="007F1210" w:rsidRDefault="003E7890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3E7890" w:rsidRP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</w:pPr>
            <w:r w:rsidRPr="007F1210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  <w:jc w:val="center"/>
            </w:pPr>
          </w:p>
        </w:tc>
      </w:tr>
    </w:tbl>
    <w:p w:rsidR="003E7890" w:rsidRPr="007F1210" w:rsidRDefault="003E7890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3E7890" w:rsidRP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</w:pPr>
            <w:r w:rsidRPr="007F1210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890" w:rsidRPr="007F1210" w:rsidRDefault="003E7890" w:rsidP="007F1210">
            <w:pPr>
              <w:autoSpaceDE w:val="0"/>
              <w:autoSpaceDN w:val="0"/>
              <w:jc w:val="center"/>
            </w:pPr>
          </w:p>
        </w:tc>
      </w:tr>
    </w:tbl>
    <w:p w:rsidR="003E7890" w:rsidRPr="007F1210" w:rsidRDefault="003E7890" w:rsidP="007F1210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7F1210">
        <w:rPr>
          <w:b/>
          <w:bCs/>
          <w:sz w:val="26"/>
          <w:szCs w:val="26"/>
        </w:rPr>
        <w:t>ЗАЯВЛЕНИЕ</w:t>
      </w:r>
      <w:r w:rsidRPr="007F1210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b/>
          <w:bCs/>
          <w:sz w:val="26"/>
          <w:szCs w:val="26"/>
        </w:rPr>
        <w:br/>
        <w:t>и (или) крупногабаритных грузов</w:t>
      </w:r>
    </w:p>
    <w:p w:rsidR="003E7890" w:rsidRPr="007F1210" w:rsidRDefault="003E7890" w:rsidP="007F1210">
      <w:pPr>
        <w:autoSpaceDE w:val="0"/>
        <w:autoSpaceDN w:val="0"/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Маршрут движения</w:t>
            </w:r>
          </w:p>
        </w:tc>
      </w:tr>
      <w:tr w:rsidR="003E7890" w:rsidRP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E7890" w:rsidRP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Вид перевозки </w:t>
            </w:r>
            <w:r w:rsidRPr="007F1210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E7890" w:rsidRP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нет</w:t>
            </w:r>
          </w:p>
        </w:tc>
      </w:tr>
      <w:tr w:rsidR="003E7890" w:rsidRP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Наименование </w:t>
            </w:r>
            <w:r w:rsidRPr="007F1210">
              <w:rPr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</w:t>
            </w:r>
          </w:p>
        </w:tc>
      </w:tr>
      <w:tr w:rsidR="003E7890" w:rsidRP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3E7890" w:rsidRP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3E7890" w:rsidRP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прицепа (полуприцепа) (т)</w:t>
            </w:r>
          </w:p>
        </w:tc>
      </w:tr>
      <w:tr w:rsidR="003E7890" w:rsidRP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E7890" w:rsidRP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3E7890" w:rsidRP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3E7890" w:rsidRP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E7890" w:rsidRP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</w:pPr>
          </w:p>
        </w:tc>
      </w:tr>
      <w:tr w:rsidR="003E7890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Оплату гарантируем</w:t>
            </w:r>
          </w:p>
        </w:tc>
      </w:tr>
      <w:tr w:rsidR="003E7890" w:rsidRP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E7890" w:rsidRP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7890" w:rsidRPr="007F1210" w:rsidRDefault="003E7890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3E7890" w:rsidRPr="007F1210" w:rsidRDefault="003E7890" w:rsidP="007F1210">
      <w:pPr>
        <w:autoSpaceDE w:val="0"/>
        <w:autoSpaceDN w:val="0"/>
      </w:pPr>
    </w:p>
    <w:p w:rsidR="003E7890" w:rsidRPr="007F1210" w:rsidRDefault="003E7890" w:rsidP="007F1210"/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Default="003E7890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E7890" w:rsidRPr="00155F16" w:rsidRDefault="003E7890" w:rsidP="00980D0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5F16">
        <w:rPr>
          <w:color w:val="000000"/>
          <w:sz w:val="22"/>
          <w:szCs w:val="22"/>
        </w:rPr>
        <w:t>Прило</w:t>
      </w:r>
      <w:r>
        <w:rPr>
          <w:color w:val="000000"/>
          <w:sz w:val="22"/>
          <w:szCs w:val="22"/>
        </w:rPr>
        <w:t>жение № 4</w:t>
      </w:r>
    </w:p>
    <w:p w:rsidR="003E7890" w:rsidRDefault="003E7890" w:rsidP="00980D0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5F16">
        <w:rPr>
          <w:color w:val="000000"/>
          <w:sz w:val="22"/>
          <w:szCs w:val="22"/>
        </w:rPr>
        <w:t>к административному регламенту</w:t>
      </w:r>
    </w:p>
    <w:p w:rsidR="003E7890" w:rsidRPr="00155F16" w:rsidRDefault="003E7890" w:rsidP="00155F16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7890" w:rsidRDefault="003E7890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E7890" w:rsidRDefault="003E7890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3E7890" w:rsidRDefault="003E7890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3E7890" w:rsidRDefault="003E7890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3E7890" w:rsidRDefault="003E7890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3E7890" w:rsidRDefault="003E7890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3E7890" w:rsidRDefault="003E7890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3E7890" w:rsidRPr="00971B34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3E7890" w:rsidRPr="00971B34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3E7890" w:rsidRPr="00971B34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3E7890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3E7890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3E7890" w:rsidRPr="00971B34" w:rsidRDefault="003E7890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7890" w:rsidRPr="00971B34" w:rsidRDefault="003E7890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t>(оборотная сторона)</w:t>
      </w:r>
    </w:p>
    <w:p w:rsidR="003E7890" w:rsidRPr="00971B34" w:rsidRDefault="003E7890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3E7890" w:rsidRPr="00971B3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3E7890" w:rsidRPr="00971B34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3E7890" w:rsidRPr="00971B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3E7890" w:rsidRPr="00971B34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3E7890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90" w:rsidRPr="00971B34" w:rsidRDefault="003E7890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E7890" w:rsidRDefault="003E7890" w:rsidP="00971B34"/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E7890" w:rsidRDefault="003E7890" w:rsidP="00D645E2">
      <w:pPr>
        <w:autoSpaceDE w:val="0"/>
        <w:autoSpaceDN w:val="0"/>
        <w:adjustRightInd w:val="0"/>
        <w:rPr>
          <w:color w:val="000000"/>
        </w:rPr>
      </w:pPr>
    </w:p>
    <w:p w:rsidR="003E7890" w:rsidRPr="005C1C52" w:rsidRDefault="003E7890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3E7890" w:rsidRPr="00155F16" w:rsidRDefault="003E7890" w:rsidP="00CF099A">
      <w:pPr>
        <w:autoSpaceDE w:val="0"/>
        <w:autoSpaceDN w:val="0"/>
        <w:adjustRightInd w:val="0"/>
        <w:jc w:val="right"/>
        <w:rPr>
          <w:color w:val="000000"/>
        </w:rPr>
      </w:pPr>
    </w:p>
    <w:sectPr w:rsidR="003E7890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90" w:rsidRDefault="003E7890" w:rsidP="00FC731E">
      <w:r>
        <w:separator/>
      </w:r>
    </w:p>
  </w:endnote>
  <w:endnote w:type="continuationSeparator" w:id="0">
    <w:p w:rsidR="003E7890" w:rsidRDefault="003E7890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90" w:rsidRDefault="003E7890" w:rsidP="00FC731E">
      <w:r>
        <w:separator/>
      </w:r>
    </w:p>
  </w:footnote>
  <w:footnote w:type="continuationSeparator" w:id="0">
    <w:p w:rsidR="003E7890" w:rsidRDefault="003E7890" w:rsidP="00FC731E">
      <w:r>
        <w:continuationSeparator/>
      </w:r>
    </w:p>
  </w:footnote>
  <w:footnote w:id="1">
    <w:p w:rsidR="003E7890" w:rsidRDefault="003E7890" w:rsidP="007F1210">
      <w:pPr>
        <w:pStyle w:val="FootnoteText"/>
        <w:ind w:firstLine="567"/>
        <w:jc w:val="both"/>
      </w:pPr>
      <w:r>
        <w:rPr>
          <w:rStyle w:val="FootnoteReference"/>
        </w:rPr>
        <w:t>*</w:t>
      </w:r>
      <w:r>
        <w:t> Для российских владельцев транспортных средств.</w:t>
      </w:r>
    </w:p>
  </w:footnote>
  <w:footnote w:id="2">
    <w:p w:rsidR="003E7890" w:rsidRDefault="003E7890" w:rsidP="007F1210">
      <w:pPr>
        <w:pStyle w:val="FootnoteText"/>
        <w:ind w:firstLine="454"/>
        <w:jc w:val="both"/>
      </w:pPr>
      <w:r>
        <w:rPr>
          <w:rStyle w:val="FootnoteReference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5659B"/>
    <w:rsid w:val="00060E9F"/>
    <w:rsid w:val="00063638"/>
    <w:rsid w:val="00065509"/>
    <w:rsid w:val="00070E05"/>
    <w:rsid w:val="00071508"/>
    <w:rsid w:val="00076AE9"/>
    <w:rsid w:val="00076F3A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5D6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2B70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45AC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22D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3E7890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34E6B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9497D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23B1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46125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0C1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33AD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17D80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139E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34A"/>
    <w:rsid w:val="009F24B0"/>
    <w:rsid w:val="009F4B75"/>
    <w:rsid w:val="009F5A31"/>
    <w:rsid w:val="00A0403B"/>
    <w:rsid w:val="00A050E2"/>
    <w:rsid w:val="00A12A9D"/>
    <w:rsid w:val="00A17AA8"/>
    <w:rsid w:val="00A20797"/>
    <w:rsid w:val="00A2198C"/>
    <w:rsid w:val="00A24DB9"/>
    <w:rsid w:val="00A254F2"/>
    <w:rsid w:val="00A26F15"/>
    <w:rsid w:val="00A37CE5"/>
    <w:rsid w:val="00A40732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12BB"/>
    <w:rsid w:val="00B736C2"/>
    <w:rsid w:val="00B77402"/>
    <w:rsid w:val="00B80846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E5FA9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77C5A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35F70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A40FF"/>
    <w:rsid w:val="00DA57EA"/>
    <w:rsid w:val="00DA7429"/>
    <w:rsid w:val="00DB4ACE"/>
    <w:rsid w:val="00DC2C96"/>
    <w:rsid w:val="00DD1F03"/>
    <w:rsid w:val="00DD7103"/>
    <w:rsid w:val="00DE1EEC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16C9"/>
    <w:rsid w:val="00E5472D"/>
    <w:rsid w:val="00E548F8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4DA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397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D22"/>
    <w:pPr>
      <w:ind w:left="720"/>
    </w:pPr>
  </w:style>
  <w:style w:type="character" w:styleId="Strong">
    <w:name w:val="Strong"/>
    <w:basedOn w:val="DefaultParagraphFont"/>
    <w:uiPriority w:val="99"/>
    <w:qFormat/>
    <w:rsid w:val="00137766"/>
    <w:rPr>
      <w:b/>
      <w:bCs/>
    </w:rPr>
  </w:style>
  <w:style w:type="paragraph" w:customStyle="1" w:styleId="1">
    <w:name w:val="Без интервала1"/>
    <w:uiPriority w:val="99"/>
    <w:rsid w:val="00080D48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C44B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A0936"/>
    <w:pPr>
      <w:widowControl w:val="0"/>
      <w:autoSpaceDE w:val="0"/>
      <w:autoSpaceDN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7F1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1210"/>
  </w:style>
  <w:style w:type="character" w:styleId="FootnoteReference">
    <w:name w:val="footnote reference"/>
    <w:basedOn w:val="DefaultParagraphFont"/>
    <w:uiPriority w:val="99"/>
    <w:semiHidden/>
    <w:rsid w:val="007F1210"/>
    <w:rPr>
      <w:vertAlign w:val="superscript"/>
    </w:rPr>
  </w:style>
  <w:style w:type="table" w:customStyle="1" w:styleId="10">
    <w:name w:val="Сетка таблицы1"/>
    <w:uiPriority w:val="99"/>
    <w:rsid w:val="005C1C52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A40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3F62811ED52033FA02559F3AAE92BE71506598DB5440AB0F760A177D5CDEEF6878C628481EB12a6Z0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3613D2469D03C260C8E7620D2F58B043499062E4356A52D5F8920F60DE049DF9B69175AY57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797</TotalTime>
  <Pages>24</Pages>
  <Words>8086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Aleksey</cp:lastModifiedBy>
  <cp:revision>29</cp:revision>
  <cp:lastPrinted>2019-03-05T09:57:00Z</cp:lastPrinted>
  <dcterms:created xsi:type="dcterms:W3CDTF">2017-09-05T08:34:00Z</dcterms:created>
  <dcterms:modified xsi:type="dcterms:W3CDTF">2021-01-12T07:37:00Z</dcterms:modified>
</cp:coreProperties>
</file>